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numPr>
          <w:ilvl w:val="0"/>
          <w:numId w:val="0"/>
        </w:numPr>
        <w:ind w:hanging="0" w:left="0"/>
        <w:outlineLvl w:val="0"/>
        <w:rPr/>
      </w:pPr>
      <w:r>
        <w:drawing>
          <wp:anchor behindDoc="0" distT="0" distB="0" distL="133350" distR="115570" simplePos="0" locked="0" layoutInCell="0" allowOverlap="1" relativeHeight="3">
            <wp:simplePos x="0" y="0"/>
            <wp:positionH relativeFrom="column">
              <wp:posOffset>104775</wp:posOffset>
            </wp:positionH>
            <wp:positionV relativeFrom="paragraph">
              <wp:posOffset>25400</wp:posOffset>
            </wp:positionV>
            <wp:extent cx="1579880" cy="1399540"/>
            <wp:effectExtent l="0" t="0" r="0" b="0"/>
            <wp:wrapTight wrapText="bothSides">
              <wp:wrapPolygon edited="0">
                <wp:start x="-530" y="0"/>
                <wp:lineTo x="-530" y="20862"/>
                <wp:lineTo x="21589" y="20862"/>
                <wp:lineTo x="21589" y="0"/>
                <wp:lineTo x="-530" y="0"/>
              </wp:wrapPolygon>
            </wp:wrapTight>
            <wp:docPr id="1" name="Рисунок 0" descr="Логотип WEB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0" descr="Логотип WEB 4.jpg"/>
                    <pic:cNvPicPr>
                      <a:picLocks noChangeAspect="1" noChangeArrowheads="1"/>
                    </pic:cNvPicPr>
                  </pic:nvPicPr>
                  <pic:blipFill>
                    <a:blip r:embed="rId2"/>
                    <a:stretch>
                      <a:fillRect/>
                    </a:stretch>
                  </pic:blipFill>
                  <pic:spPr bwMode="auto">
                    <a:xfrm>
                      <a:off x="0" y="0"/>
                      <a:ext cx="1579880" cy="1399540"/>
                    </a:xfrm>
                    <a:prstGeom prst="rect">
                      <a:avLst/>
                    </a:prstGeom>
                  </pic:spPr>
                </pic:pic>
              </a:graphicData>
            </a:graphic>
          </wp:anchor>
        </w:drawing>
      </w:r>
      <w:r>
        <w:rPr>
          <w:sz w:val="32"/>
        </w:rPr>
        <w:t>ПРЕСС-СЛУЖБА</w:t>
      </w:r>
    </w:p>
    <w:p>
      <w:pPr>
        <w:pStyle w:val="BodyText"/>
        <w:ind w:hanging="0"/>
        <w:rPr/>
      </w:pPr>
      <w:r>
        <w:rPr>
          <w:sz w:val="32"/>
        </w:rPr>
        <w:t xml:space="preserve">ОТДЕЛЕНИЯ ФОНДА ПЕНСИОННОГО </w:t>
      </w:r>
    </w:p>
    <w:p>
      <w:pPr>
        <w:pStyle w:val="BodyText"/>
        <w:ind w:hanging="0"/>
        <w:rPr/>
      </w:pPr>
      <w:r>
        <w:rPr>
          <w:sz w:val="32"/>
        </w:rPr>
        <w:t xml:space="preserve">И СОЦИАЛЬНОГО СТРАХОВАНИЯ </w:t>
      </w:r>
    </w:p>
    <w:p>
      <w:pPr>
        <w:pStyle w:val="BodyText"/>
        <w:ind w:hanging="0"/>
        <w:rPr/>
      </w:pPr>
      <w:r>
        <w:rPr>
          <w:sz w:val="32"/>
        </w:rPr>
        <w:t>РОССИЙСКОЙ ФЕДЕРАЦИИ</w:t>
      </w:r>
    </w:p>
    <w:p>
      <w:pPr>
        <w:pStyle w:val="BodyText"/>
        <w:numPr>
          <w:ilvl w:val="0"/>
          <w:numId w:val="0"/>
        </w:numPr>
        <w:ind w:hanging="0" w:left="0"/>
        <w:outlineLvl w:val="0"/>
        <w:rPr/>
      </w:pPr>
      <w:r>
        <w:rPr>
          <w:sz w:val="32"/>
        </w:rPr>
        <w:t xml:space="preserve">ПО ВОЛГОГРАДСКОЙ ОБЛАСТИ </w:t>
      </w:r>
    </w:p>
    <w:p>
      <w:pPr>
        <w:pStyle w:val="BodyText"/>
        <w:numPr>
          <w:ilvl w:val="0"/>
          <w:numId w:val="0"/>
        </w:numPr>
        <w:ind w:hanging="0" w:left="142"/>
        <w:outlineLvl w:val="0"/>
        <w:rPr>
          <w:sz w:val="32"/>
        </w:rPr>
      </w:pPr>
      <w:r>
        <w:rPr>
          <w:sz w:val="32"/>
        </w:rPr>
      </w:r>
    </w:p>
    <w:p>
      <w:pPr>
        <w:pStyle w:val="BodyTextIndent"/>
        <w:ind w:firstLine="578" w:left="142"/>
        <w:jc w:val="center"/>
        <w:rPr>
          <w:b/>
          <w:sz w:val="22"/>
          <w:szCs w:val="20"/>
        </w:rPr>
      </w:pPr>
      <w:r>
        <w:rPr>
          <w:b/>
          <w:sz w:val="22"/>
          <w:szCs w:val="20"/>
        </w:rPr>
        <w:t xml:space="preserve">                                          </w:t>
      </w:r>
      <w:r>
        <w:rPr>
          <w:b/>
          <w:sz w:val="22"/>
          <w:szCs w:val="20"/>
        </w:rPr>
        <w:t>400001, г. Волгоград, ул. Рабоче-Крестьянская, 16</w:t>
      </w:r>
    </w:p>
    <w:p>
      <w:pPr>
        <w:pStyle w:val="BodyTextIndent"/>
        <w:ind w:firstLine="709" w:left="1620"/>
        <w:jc w:val="center"/>
        <w:rPr>
          <w:b/>
          <w:bCs/>
          <w:sz w:val="28"/>
        </w:rPr>
      </w:pPr>
      <w:r>
        <w:rPr>
          <w:b/>
          <w:bCs/>
          <w:sz w:val="28"/>
        </w:rPr>
      </w:r>
    </w:p>
    <w:p>
      <w:pPr>
        <w:pStyle w:val="BodyTextIndent"/>
        <w:ind w:firstLine="709" w:left="1620"/>
        <w:jc w:val="center"/>
        <w:rPr>
          <w:b/>
          <w:bCs/>
          <w:sz w:val="28"/>
        </w:rPr>
      </w:pPr>
      <w:r>
        <w:rPr>
          <w:b/>
          <w:bCs/>
          <w:sz w:val="28"/>
        </w:rPr>
        <mc:AlternateContent>
          <mc:Choice Requires="wps">
            <w:drawing>
              <wp:anchor behindDoc="1" distT="0" distB="0" distL="0" distR="0" simplePos="0" locked="0" layoutInCell="1" allowOverlap="1" relativeHeight="2">
                <wp:simplePos x="0" y="0"/>
                <wp:positionH relativeFrom="column">
                  <wp:posOffset>137160</wp:posOffset>
                </wp:positionH>
                <wp:positionV relativeFrom="paragraph">
                  <wp:posOffset>66040</wp:posOffset>
                </wp:positionV>
                <wp:extent cx="6704330" cy="0"/>
                <wp:effectExtent l="635" t="29210" r="0" b="29210"/>
                <wp:wrapNone/>
                <wp:docPr id="2" name="shape_0"/>
                <a:graphic xmlns:a="http://schemas.openxmlformats.org/drawingml/2006/main">
                  <a:graphicData uri="http://schemas.microsoft.com/office/word/2010/wordprocessingShape">
                    <wps:wsp>
                      <wps:cNvSpPr/>
                      <wps:spPr>
                        <a:xfrm flipV="1">
                          <a:off x="0" y="0"/>
                          <a:ext cx="6704280" cy="0"/>
                        </a:xfrm>
                        <a:prstGeom prst="line">
                          <a:avLst/>
                        </a:prstGeom>
                        <a:ln w="57240">
                          <a:solidFill>
                            <a:srgbClr val="000099"/>
                          </a:solidFill>
                          <a:miter/>
                        </a:ln>
                      </wps:spPr>
                      <wps:style>
                        <a:lnRef idx="0"/>
                        <a:fillRef idx="0"/>
                        <a:effectRef idx="0"/>
                        <a:fontRef idx="minor"/>
                      </wps:style>
                      <wps:bodyPr/>
                    </wps:wsp>
                  </a:graphicData>
                </a:graphic>
              </wp:anchor>
            </w:drawing>
          </mc:Choice>
          <mc:Fallback>
            <w:pict>
              <v:line id="shape_0" from="10.8pt,5.2pt" to="538.65pt,5.2pt" ID="shape_0" stroked="t" o:allowincell="f" style="position:absolute;flip:y">
                <v:stroke color="#000099" weight="57240" joinstyle="miter" endcap="flat"/>
                <v:fill o:detectmouseclick="t" on="false"/>
                <w10:wrap type="none"/>
              </v:line>
            </w:pict>
          </mc:Fallback>
        </mc:AlternateContent>
      </w:r>
    </w:p>
    <w:p>
      <w:pPr>
        <w:pStyle w:val="BodyTextIndent"/>
        <w:jc w:val="left"/>
        <w:rPr>
          <w:b/>
          <w:bCs/>
        </w:rPr>
      </w:pPr>
      <w:r>
        <w:rPr>
          <w:b/>
          <w:bCs/>
        </w:rPr>
      </w:r>
    </w:p>
    <w:p>
      <w:pPr>
        <w:pStyle w:val="Normal"/>
        <w:jc w:val="center"/>
        <w:rPr/>
      </w:pPr>
      <w:r>
        <w:rPr>
          <w:rFonts w:ascii="Times New Roman" w:hAnsi="Times New Roman"/>
          <w:b/>
          <w:bCs/>
          <w:sz w:val="22"/>
          <w:szCs w:val="20"/>
        </w:rPr>
        <w:t xml:space="preserve">      </w:t>
      </w:r>
      <w:r>
        <w:rPr>
          <w:rFonts w:ascii="Times New Roman" w:hAnsi="Times New Roman"/>
          <w:b/>
          <w:bCs/>
          <w:sz w:val="22"/>
          <w:szCs w:val="20"/>
        </w:rPr>
        <w:t>Официальный сайт Отделения СФР по Волгоградской области –</w:t>
      </w:r>
      <w:r>
        <w:rPr>
          <w:rFonts w:ascii="Times New Roman" w:hAnsi="Times New Roman"/>
          <w:b/>
          <w:bCs/>
          <w:sz w:val="22"/>
          <w:szCs w:val="20"/>
          <w:u w:val="single"/>
        </w:rPr>
        <w:t xml:space="preserve">  </w:t>
      </w:r>
      <w:r>
        <w:rPr>
          <w:rFonts w:ascii="Times New Roman" w:hAnsi="Times New Roman"/>
          <w:b/>
          <w:bCs/>
          <w:sz w:val="22"/>
          <w:szCs w:val="20"/>
          <w:lang w:val="en-US"/>
        </w:rPr>
        <w:t>sfr</w:t>
      </w:r>
      <w:r>
        <w:rPr>
          <w:rFonts w:ascii="Times New Roman" w:hAnsi="Times New Roman"/>
          <w:b/>
          <w:bCs/>
          <w:sz w:val="22"/>
          <w:szCs w:val="20"/>
        </w:rPr>
        <w:t>.</w:t>
      </w:r>
      <w:r>
        <w:rPr>
          <w:rFonts w:ascii="Times New Roman" w:hAnsi="Times New Roman"/>
          <w:b/>
          <w:bCs/>
          <w:sz w:val="22"/>
          <w:szCs w:val="20"/>
          <w:lang w:val="en-US"/>
        </w:rPr>
        <w:t>gov</w:t>
      </w:r>
      <w:r>
        <w:rPr>
          <w:rFonts w:ascii="Times New Roman" w:hAnsi="Times New Roman"/>
          <w:b/>
          <w:bCs/>
          <w:sz w:val="22"/>
          <w:szCs w:val="20"/>
        </w:rPr>
        <w:t>.</w:t>
      </w:r>
      <w:r>
        <w:rPr>
          <w:rFonts w:ascii="Times New Roman" w:hAnsi="Times New Roman"/>
          <w:b/>
          <w:bCs/>
          <w:sz w:val="22"/>
          <w:szCs w:val="20"/>
          <w:lang w:val="en-US"/>
        </w:rPr>
        <w:t>ru</w:t>
      </w:r>
      <w:r>
        <w:rPr>
          <w:rFonts w:ascii="Times New Roman" w:hAnsi="Times New Roman"/>
          <w:b/>
          <w:bCs/>
          <w:sz w:val="22"/>
          <w:szCs w:val="20"/>
        </w:rPr>
        <w:t>/</w:t>
      </w:r>
      <w:r>
        <w:rPr>
          <w:rFonts w:ascii="Times New Roman" w:hAnsi="Times New Roman"/>
          <w:b/>
          <w:bCs/>
          <w:sz w:val="22"/>
          <w:szCs w:val="20"/>
          <w:lang w:val="en-US"/>
        </w:rPr>
        <w:t>branches</w:t>
      </w:r>
      <w:r>
        <w:rPr>
          <w:rFonts w:ascii="Times New Roman" w:hAnsi="Times New Roman"/>
          <w:b/>
          <w:bCs/>
          <w:sz w:val="22"/>
          <w:szCs w:val="20"/>
        </w:rPr>
        <w:t>/</w:t>
      </w:r>
      <w:r>
        <w:rPr>
          <w:rFonts w:ascii="Times New Roman" w:hAnsi="Times New Roman"/>
          <w:b/>
          <w:bCs/>
          <w:sz w:val="22"/>
          <w:szCs w:val="20"/>
          <w:lang w:val="en-US"/>
        </w:rPr>
        <w:t>volgograd</w:t>
      </w:r>
      <w:r>
        <w:rPr>
          <w:rFonts w:ascii="Times New Roman" w:hAnsi="Times New Roman"/>
          <w:b/>
          <w:bCs/>
          <w:sz w:val="22"/>
          <w:szCs w:val="20"/>
        </w:rPr>
        <w:t>/</w:t>
      </w:r>
    </w:p>
    <w:p>
      <w:pPr>
        <w:pStyle w:val="Normal"/>
        <w:jc w:val="center"/>
        <w:rPr>
          <w:rFonts w:ascii="Times New Roman" w:hAnsi="Times New Roman"/>
          <w:b/>
          <w:bCs/>
          <w:sz w:val="8"/>
          <w:szCs w:val="8"/>
        </w:rPr>
      </w:pPr>
      <w:r>
        <w:rPr>
          <w:rFonts w:ascii="Times New Roman" w:hAnsi="Times New Roman"/>
          <w:b/>
          <w:bCs/>
          <w:sz w:val="8"/>
          <w:szCs w:val="8"/>
        </w:rPr>
      </w:r>
    </w:p>
    <w:p>
      <w:pPr>
        <w:pStyle w:val="Normal"/>
        <w:spacing w:before="0" w:after="29"/>
        <w:jc w:val="center"/>
        <w:rPr>
          <w:rFonts w:ascii="Times New Roman" w:hAnsi="Times New Roman"/>
          <w:b/>
          <w:bCs/>
          <w:sz w:val="28"/>
          <w:szCs w:val="28"/>
        </w:rPr>
      </w:pPr>
      <w:r>
        <w:rPr>
          <w:rFonts w:ascii="Times New Roman" w:hAnsi="Times New Roman"/>
          <w:b/>
          <w:bCs/>
          <w:sz w:val="28"/>
          <w:szCs w:val="28"/>
        </w:rPr>
        <w:t>До 1 декабря волгоградцы могут сменить страховщика пенсионных накоплений</w:t>
      </w:r>
    </w:p>
    <w:p>
      <w:pPr>
        <w:pStyle w:val="Normal"/>
        <w:spacing w:before="0" w:after="29"/>
        <w:jc w:val="center"/>
        <w:rPr>
          <w:rFonts w:ascii="Times New Roman" w:hAnsi="Times New Roman"/>
          <w:b/>
          <w:bCs/>
          <w:sz w:val="6"/>
          <w:szCs w:val="6"/>
        </w:rPr>
      </w:pPr>
      <w:r>
        <w:rPr>
          <w:rFonts w:ascii="Times New Roman" w:hAnsi="Times New Roman"/>
          <w:b/>
          <w:bCs/>
          <w:sz w:val="6"/>
          <w:szCs w:val="6"/>
        </w:rPr>
      </w:r>
    </w:p>
    <w:p>
      <w:pPr>
        <w:pStyle w:val="Normal"/>
        <w:spacing w:before="0" w:after="29"/>
        <w:jc w:val="both"/>
        <w:rPr/>
      </w:pPr>
      <w:r>
        <w:rPr>
          <w:rStyle w:val="Emphasis"/>
          <w:rFonts w:ascii="Times New Roman" w:hAnsi="Times New Roman"/>
          <w:sz w:val="28"/>
          <w:szCs w:val="28"/>
        </w:rPr>
        <w:tab/>
        <w:t>Гражданин, у которого формируются пенсионные накопления, вправе выбрать страховщика, который будет этими накоплениями управлять. Это может быть Социальный фонд России (СФР) или негосударственный пенсионный фонд (НПФ). Волгоградцы, решившие со следующего года сменить страховщика, должны направить заявление в региональное Отделение СФР до 1 декабря 2024 года.</w:t>
      </w:r>
    </w:p>
    <w:p>
      <w:pPr>
        <w:pStyle w:val="Normal"/>
        <w:spacing w:before="0" w:after="29"/>
        <w:jc w:val="both"/>
        <w:rPr>
          <w:rFonts w:ascii="Times New Roman" w:hAnsi="Times New Roman"/>
          <w:sz w:val="28"/>
          <w:szCs w:val="28"/>
        </w:rPr>
      </w:pPr>
      <w:r>
        <w:rPr>
          <w:rFonts w:ascii="Times New Roman" w:hAnsi="Times New Roman"/>
          <w:sz w:val="28"/>
          <w:szCs w:val="28"/>
        </w:rPr>
        <w:tab/>
        <w:t xml:space="preserve">Заявление о переходе к другому страховщику можно подать в клиентской службе Отделения СФР по Волгоградской области или в электронной форме на портале госуслуг. Если после этого гражданин по каким-либо причинам передумал менять страховщика, то не позднее 31 декабря 2024 года ему необходимо направить уведомление об отказе от смены. </w:t>
      </w:r>
    </w:p>
    <w:p>
      <w:pPr>
        <w:pStyle w:val="Normal"/>
        <w:spacing w:before="0" w:after="29"/>
        <w:jc w:val="both"/>
        <w:rPr>
          <w:rFonts w:ascii="Times New Roman" w:hAnsi="Times New Roman"/>
          <w:sz w:val="28"/>
          <w:szCs w:val="28"/>
        </w:rPr>
      </w:pPr>
      <w:r>
        <w:rPr>
          <w:rFonts w:ascii="Times New Roman" w:hAnsi="Times New Roman"/>
          <w:sz w:val="28"/>
          <w:szCs w:val="28"/>
        </w:rPr>
        <w:tab/>
        <w:t>Для перевода пенсионных накоплений из Социального фонда России в НПФ или из одного НПФ в другой необходимо заключить с выбранным фондом договор об обязательном пенсионном страховании. Реквизиты нового договора указываются в заявлении о смене страховщика.</w:t>
      </w:r>
    </w:p>
    <w:p>
      <w:pPr>
        <w:pStyle w:val="Normal"/>
        <w:spacing w:before="0" w:after="29"/>
        <w:jc w:val="both"/>
        <w:rPr>
          <w:rFonts w:ascii="Times New Roman" w:hAnsi="Times New Roman"/>
          <w:sz w:val="28"/>
          <w:szCs w:val="28"/>
        </w:rPr>
      </w:pPr>
      <w:r>
        <w:rPr>
          <w:rFonts w:ascii="Times New Roman" w:hAnsi="Times New Roman"/>
          <w:sz w:val="28"/>
          <w:szCs w:val="28"/>
        </w:rPr>
        <w:tab/>
      </w:r>
      <w:r>
        <w:rPr>
          <w:rFonts w:ascii="Times New Roman" w:hAnsi="Times New Roman"/>
          <w:b/>
          <w:bCs/>
          <w:sz w:val="28"/>
          <w:szCs w:val="28"/>
        </w:rPr>
        <w:t>ВАЖНО!</w:t>
      </w:r>
      <w:r>
        <w:rPr>
          <w:rFonts w:ascii="Times New Roman" w:hAnsi="Times New Roman"/>
          <w:sz w:val="28"/>
          <w:szCs w:val="28"/>
        </w:rPr>
        <w:t xml:space="preserve"> Переход от одного страховщика к другому без потери инвестиционного дохода возможен только раз в пять лет. При подаче заявления гражданину предоставляется информация о возможной потере в случае досрочного перехода (до истечения пятилетнего периода).</w:t>
      </w:r>
    </w:p>
    <w:p>
      <w:pPr>
        <w:pStyle w:val="Normal"/>
        <w:spacing w:before="0" w:after="29"/>
        <w:jc w:val="both"/>
        <w:rPr>
          <w:rFonts w:ascii="Times New Roman" w:hAnsi="Times New Roman"/>
          <w:sz w:val="28"/>
          <w:szCs w:val="28"/>
        </w:rPr>
      </w:pPr>
      <w:r>
        <w:rPr>
          <w:rFonts w:ascii="Times New Roman" w:hAnsi="Times New Roman"/>
          <w:sz w:val="28"/>
          <w:szCs w:val="28"/>
        </w:rPr>
        <w:tab/>
        <w:t>В 2024 году поменять страховщика без потери инвестиционного дохода могут граждане, которые начали формировать свои пенсионные накопления у текущего страховщика в 2015 и 2020 годах.</w:t>
      </w:r>
    </w:p>
    <w:p>
      <w:pPr>
        <w:pStyle w:val="Normal"/>
        <w:spacing w:before="0" w:after="29"/>
        <w:jc w:val="both"/>
        <w:rPr>
          <w:rFonts w:ascii="Times New Roman" w:hAnsi="Times New Roman"/>
          <w:sz w:val="28"/>
          <w:szCs w:val="28"/>
        </w:rPr>
      </w:pPr>
      <w:r>
        <w:rPr>
          <w:rFonts w:ascii="Times New Roman" w:hAnsi="Times New Roman"/>
          <w:sz w:val="28"/>
          <w:szCs w:val="28"/>
        </w:rPr>
        <w:tab/>
        <w:t>Решение по принятым в течение 2024 года заявлениям будет вынесено до 1 марта 2025 года (в случае досрочного перехода) либо до 1 марта года, в котором истекает пятилетний срок.</w:t>
      </w:r>
    </w:p>
    <w:p>
      <w:pPr>
        <w:pStyle w:val="Normal"/>
        <w:spacing w:before="0" w:after="29"/>
        <w:jc w:val="both"/>
        <w:rPr>
          <w:rFonts w:ascii="Times New Roman" w:hAnsi="Times New Roman"/>
          <w:sz w:val="28"/>
          <w:szCs w:val="28"/>
        </w:rPr>
      </w:pPr>
      <w:r>
        <w:rPr>
          <w:rFonts w:ascii="Times New Roman" w:hAnsi="Times New Roman"/>
          <w:sz w:val="28"/>
          <w:szCs w:val="28"/>
        </w:rPr>
        <w:tab/>
        <w:t>Узнать, в каком фонде сегодня формируются ваши пенсионные накопления, можно в личном кабинете на портале госуслуг или в клиентской службе Отделения СФР по Волгоградской области, заказав справку (выписку) о состоянии индивидуального лицевого сч</w:t>
      </w:r>
      <w:r>
        <w:rPr>
          <w:rFonts w:ascii="Times New Roman" w:hAnsi="Times New Roman"/>
          <w:sz w:val="28"/>
          <w:szCs w:val="28"/>
        </w:rPr>
        <w:t>ё</w:t>
      </w:r>
      <w:r>
        <w:rPr>
          <w:rFonts w:ascii="Times New Roman" w:hAnsi="Times New Roman"/>
          <w:sz w:val="28"/>
          <w:szCs w:val="28"/>
        </w:rPr>
        <w:t xml:space="preserve">та. В ней содержится вся информация о текущем страховщике, а также указана сумма дохода от инвестирования средств пенсионных накоплений, не подлежащего передаче в случае досрочного перехода. </w:t>
      </w:r>
    </w:p>
    <w:p>
      <w:pPr>
        <w:pStyle w:val="Normal"/>
        <w:spacing w:before="0" w:after="29"/>
        <w:jc w:val="both"/>
        <w:rPr>
          <w:rFonts w:ascii="Times New Roman" w:hAnsi="Times New Roman"/>
          <w:sz w:val="28"/>
          <w:szCs w:val="28"/>
        </w:rPr>
      </w:pPr>
      <w:r>
        <w:rPr>
          <w:rFonts w:ascii="Times New Roman" w:hAnsi="Times New Roman"/>
          <w:sz w:val="28"/>
          <w:szCs w:val="28"/>
        </w:rPr>
        <w:tab/>
        <w:t>Напомним, средства пенсионных накоплений формировались у работающих граждан 1967 года рождения и моложе за счёт уплаты страховых взносов в ПФР, у всех участников программы государственного софинансирования и у тех, кто направил материнский капитал на формирование будущей пенсии. Также в 2002-2004 годах накопительная часть пенсии в обязательном порядке формировалась у мужчин 1953-1966 года рождения и у женщин 1957-1966 года рождения. С 2014 года отчисления работодателей полностью направляются на формирование только страховой пенсии.</w:t>
      </w:r>
    </w:p>
    <w:p>
      <w:pPr>
        <w:pStyle w:val="Normal"/>
        <w:spacing w:before="0" w:after="29"/>
        <w:jc w:val="both"/>
        <w:rPr>
          <w:rFonts w:ascii="Times New Roman" w:hAnsi="Times New Roman"/>
          <w:sz w:val="28"/>
          <w:szCs w:val="28"/>
        </w:rPr>
      </w:pPr>
      <w:r>
        <w:rPr>
          <w:rFonts w:cs="Times New Roman" w:ascii="Times New Roman" w:hAnsi="Times New Roman"/>
          <w:sz w:val="28"/>
          <w:szCs w:val="28"/>
        </w:rPr>
        <w:tab/>
        <w:t xml:space="preserve">Если у вас есть вопросы, вы всегда можете обратиться в единый контакт-центр по телефону: 8-800-10-000-01 (режим работы региональной линии — пн-чт с 8:00 до 17:00 час., пт — с 8:00 до 16:00). </w:t>
      </w:r>
    </w:p>
    <w:p>
      <w:pPr>
        <w:pStyle w:val="Normal"/>
        <w:spacing w:before="0" w:after="29"/>
        <w:jc w:val="both"/>
        <w:rPr>
          <w:rFonts w:ascii="Times New Roman" w:hAnsi="Times New Roman"/>
          <w:sz w:val="28"/>
          <w:szCs w:val="28"/>
        </w:rPr>
      </w:pPr>
      <w:r>
        <w:rPr>
          <w:rFonts w:ascii="Times New Roman" w:hAnsi="Times New Roman"/>
          <w:sz w:val="28"/>
          <w:szCs w:val="28"/>
        </w:rPr>
      </w:r>
    </w:p>
    <w:p>
      <w:pPr>
        <w:pStyle w:val="Normal"/>
        <w:spacing w:before="0" w:after="29"/>
        <w:jc w:val="both"/>
        <w:rPr>
          <w:rFonts w:ascii="Times New Roman" w:hAnsi="Times New Roman"/>
          <w:sz w:val="28"/>
          <w:szCs w:val="28"/>
        </w:rPr>
      </w:pPr>
      <w:r>
        <w:rPr>
          <w:rFonts w:ascii="Times New Roman" w:hAnsi="Times New Roman"/>
          <w:sz w:val="28"/>
          <w:szCs w:val="28"/>
        </w:rPr>
      </w:r>
    </w:p>
    <w:sectPr>
      <w:type w:val="nextPage"/>
      <w:pgSz w:w="11906" w:h="16838"/>
      <w:pgMar w:left="567" w:right="567" w:gutter="0" w:header="0" w:top="1134"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4be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Heading1">
    <w:name w:val="Heading 1"/>
    <w:basedOn w:val="Style14"/>
    <w:qFormat/>
    <w:pPr/>
    <w:rPr/>
  </w:style>
  <w:style w:type="paragraph" w:styleId="Heading2">
    <w:name w:val="Heading 2"/>
    <w:basedOn w:val="Style14"/>
    <w:qFormat/>
    <w:pPr/>
    <w:rPr/>
  </w:style>
  <w:style w:type="paragraph" w:styleId="Heading3">
    <w:name w:val="Heading 3"/>
    <w:basedOn w:val="Style14"/>
    <w:qFormat/>
    <w:pPr/>
    <w:rPr/>
  </w:style>
  <w:style w:type="character" w:styleId="DefaultParagraphFont" w:default="1">
    <w:name w:val="Default Paragraph Font"/>
    <w:uiPriority w:val="1"/>
    <w:semiHidden/>
    <w:unhideWhenUsed/>
    <w:qFormat/>
    <w:rPr/>
  </w:style>
  <w:style w:type="character" w:styleId="Style11" w:customStyle="1">
    <w:name w:val="Основной текст Знак"/>
    <w:basedOn w:val="DefaultParagraphFont"/>
    <w:semiHidden/>
    <w:qFormat/>
    <w:rsid w:val="000c3a32"/>
    <w:rPr>
      <w:rFonts w:ascii="Times New Roman" w:hAnsi="Times New Roman" w:eastAsia="Times New Roman" w:cs="Times New Roman"/>
      <w:b/>
      <w:color w:val="00000A"/>
      <w:sz w:val="28"/>
      <w:szCs w:val="24"/>
      <w:lang w:eastAsia="ar-SA"/>
    </w:rPr>
  </w:style>
  <w:style w:type="character" w:styleId="Style12" w:customStyle="1">
    <w:name w:val="Основной текст с отступом Знак"/>
    <w:basedOn w:val="DefaultParagraphFont"/>
    <w:semiHidden/>
    <w:qFormat/>
    <w:rsid w:val="000c3a32"/>
    <w:rPr>
      <w:rFonts w:ascii="Times New Roman" w:hAnsi="Times New Roman" w:eastAsia="Times New Roman" w:cs="Times New Roman"/>
      <w:color w:val="00000A"/>
      <w:sz w:val="24"/>
      <w:szCs w:val="24"/>
      <w:lang w:eastAsia="ar-SA"/>
    </w:rPr>
  </w:style>
  <w:style w:type="character" w:styleId="Style13" w:customStyle="1">
    <w:name w:val="Текст выноски Знак"/>
    <w:basedOn w:val="DefaultParagraphFont"/>
    <w:uiPriority w:val="99"/>
    <w:semiHidden/>
    <w:qFormat/>
    <w:rsid w:val="000c3a32"/>
    <w:rPr>
      <w:rFonts w:ascii="Tahoma" w:hAnsi="Tahoma" w:cs="Tahoma"/>
      <w:sz w:val="16"/>
      <w:szCs w:val="16"/>
    </w:rPr>
  </w:style>
  <w:style w:type="character" w:styleId="Emphasis">
    <w:name w:val="Emphasis"/>
    <w:basedOn w:val="DefaultParagraphFont"/>
    <w:qFormat/>
    <w:rPr>
      <w:i/>
      <w:iCs/>
    </w:rPr>
  </w:style>
  <w:style w:type="paragraph" w:styleId="Style14">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semiHidden/>
    <w:unhideWhenUsed/>
    <w:rsid w:val="000c3a32"/>
    <w:pPr>
      <w:suppressAutoHyphens w:val="true"/>
      <w:spacing w:lineRule="auto" w:line="240" w:before="0" w:after="0"/>
      <w:jc w:val="center"/>
    </w:pPr>
    <w:rPr>
      <w:rFonts w:ascii="Times New Roman" w:hAnsi="Times New Roman" w:eastAsia="Times New Roman" w:cs="Times New Roman"/>
      <w:b/>
      <w:color w:val="00000A"/>
      <w:sz w:val="28"/>
      <w:szCs w:val="24"/>
      <w:lang w:eastAsia="ar-SA"/>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BodyTextIndent">
    <w:name w:val="Body Text Indent"/>
    <w:basedOn w:val="Normal"/>
    <w:semiHidden/>
    <w:unhideWhenUsed/>
    <w:rsid w:val="000c3a32"/>
    <w:pPr>
      <w:suppressAutoHyphens w:val="true"/>
      <w:spacing w:lineRule="auto" w:line="240" w:before="0" w:after="0"/>
      <w:ind w:firstLine="709"/>
      <w:jc w:val="both"/>
    </w:pPr>
    <w:rPr>
      <w:rFonts w:ascii="Times New Roman" w:hAnsi="Times New Roman" w:eastAsia="Times New Roman" w:cs="Times New Roman"/>
      <w:color w:val="00000A"/>
      <w:sz w:val="24"/>
      <w:szCs w:val="24"/>
      <w:lang w:eastAsia="ar-SA"/>
    </w:rPr>
  </w:style>
  <w:style w:type="paragraph" w:styleId="BalloonText">
    <w:name w:val="Balloon Text"/>
    <w:basedOn w:val="Normal"/>
    <w:uiPriority w:val="99"/>
    <w:semiHidden/>
    <w:unhideWhenUsed/>
    <w:qFormat/>
    <w:rsid w:val="000c3a32"/>
    <w:pPr>
      <w:spacing w:lineRule="auto" w:line="240" w:before="0" w:after="0"/>
    </w:pPr>
    <w:rPr>
      <w:rFonts w:ascii="Tahoma" w:hAnsi="Tahoma" w:cs="Tahoma"/>
      <w:sz w:val="16"/>
      <w:szCs w:val="16"/>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Style16">
    <w:name w:val="Блочная цитата"/>
    <w:basedOn w:val="Normal"/>
    <w:qFormat/>
    <w:pPr/>
    <w:rPr/>
  </w:style>
  <w:style w:type="paragraph" w:styleId="Title">
    <w:name w:val="Title"/>
    <w:basedOn w:val="Style14"/>
    <w:qFormat/>
    <w:pPr/>
    <w:rPr/>
  </w:style>
  <w:style w:type="paragraph" w:styleId="Subtitle">
    <w:name w:val="Subtitle"/>
    <w:basedOn w:val="Style14"/>
    <w:qFormat/>
    <w:pPr/>
    <w:rPr/>
  </w:style>
  <w:style w:type="paragraph" w:styleId="Style17">
    <w:name w:val="Содержимое таблицы"/>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LibreOffice/7.6.4.1$Windows_X86_64 LibreOffice_project/e19e193f88cd6c0525a17fb7a176ed8e6a3e2aa1</Application>
  <AppVersion>15.0000</AppVersion>
  <DocSecurity>0</DocSecurity>
  <Pages>2</Pages>
  <Words>410</Words>
  <Characters>2636</Characters>
  <CharactersWithSpaces>3096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2023-01-10T07:24:00Z</dcterms:created>
  <dc:creator>044MatyushechkinaMS</dc:creator>
  <dc:description/>
  <dc:language>ru-RU</dc:language>
  <cp:lastModifiedBy/>
  <dcterms:modified xsi:type="dcterms:W3CDTF">2024-11-08T09:35:36Z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